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91A" w:rsidRPr="0024779C" w:rsidRDefault="00CF091A" w:rsidP="00CF091A">
      <w:pPr>
        <w:jc w:val="center"/>
        <w:rPr>
          <w:rFonts w:ascii="Garamond" w:hAnsi="Garamond"/>
          <w:b/>
        </w:rPr>
      </w:pPr>
      <w:r w:rsidRPr="0024779C">
        <w:rPr>
          <w:rFonts w:ascii="Garamond" w:hAnsi="Garamond"/>
          <w:b/>
        </w:rPr>
        <w:t>Democratizing Higher Education—Experiments Old Westbury Oral History Project</w:t>
      </w:r>
    </w:p>
    <w:p w:rsidR="00CF091A" w:rsidRPr="0024779C" w:rsidRDefault="00CF091A" w:rsidP="00CF091A">
      <w:pPr>
        <w:jc w:val="center"/>
        <w:rPr>
          <w:rFonts w:ascii="Garamond" w:hAnsi="Garamond"/>
        </w:rPr>
      </w:pPr>
      <w:r>
        <w:rPr>
          <w:rFonts w:ascii="Garamond" w:hAnsi="Garamond"/>
        </w:rPr>
        <w:t>Carol Quirke</w:t>
      </w:r>
    </w:p>
    <w:p w:rsidR="00CF091A" w:rsidRPr="0024779C" w:rsidRDefault="00CF091A" w:rsidP="00CF091A">
      <w:pPr>
        <w:jc w:val="center"/>
        <w:rPr>
          <w:rFonts w:ascii="Garamond" w:hAnsi="Garamond"/>
        </w:rPr>
      </w:pPr>
      <w:r>
        <w:rPr>
          <w:rFonts w:ascii="Garamond" w:hAnsi="Garamond"/>
        </w:rPr>
        <w:t>American Studies Department--SUNY Old Westbury</w:t>
      </w:r>
    </w:p>
    <w:p w:rsidR="00CF091A" w:rsidRDefault="00CF091A" w:rsidP="00CF091A">
      <w:pPr>
        <w:jc w:val="center"/>
        <w:rPr>
          <w:rFonts w:ascii="Garamond" w:hAnsi="Garamond"/>
        </w:rPr>
      </w:pPr>
      <w:bookmarkStart w:id="0" w:name="_GoBack"/>
      <w:bookmarkEnd w:id="0"/>
      <w:r>
        <w:rPr>
          <w:rFonts w:ascii="Garamond" w:hAnsi="Garamond"/>
        </w:rPr>
        <w:t>2018</w:t>
      </w:r>
    </w:p>
    <w:p w:rsidR="00CF091A" w:rsidRDefault="00CF091A" w:rsidP="00CF091A">
      <w:pPr>
        <w:jc w:val="center"/>
        <w:rPr>
          <w:rFonts w:ascii="Garamond" w:hAnsi="Garamond"/>
        </w:rPr>
      </w:pPr>
    </w:p>
    <w:p w:rsidR="00CF091A" w:rsidRDefault="00CF091A" w:rsidP="00CF091A">
      <w:pPr>
        <w:jc w:val="center"/>
        <w:rPr>
          <w:rFonts w:ascii="Garamond" w:hAnsi="Garamond"/>
        </w:rPr>
      </w:pPr>
      <w:r>
        <w:rPr>
          <w:rFonts w:ascii="Garamond" w:hAnsi="Garamond"/>
          <w:noProof/>
        </w:rPr>
        <w:drawing>
          <wp:inline distT="0" distB="0" distL="0" distR="0">
            <wp:extent cx="5943600" cy="334327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5943600" cy="3343275"/>
                    </a:xfrm>
                    <a:prstGeom prst="rect">
                      <a:avLst/>
                    </a:prstGeom>
                    <a:noFill/>
                    <a:ln w="9525">
                      <a:noFill/>
                      <a:miter lim="800000"/>
                      <a:headEnd/>
                      <a:tailEnd/>
                    </a:ln>
                  </pic:spPr>
                </pic:pic>
              </a:graphicData>
            </a:graphic>
          </wp:inline>
        </w:drawing>
      </w:r>
    </w:p>
    <w:p w:rsidR="00CF091A" w:rsidRDefault="00CF091A" w:rsidP="00CF091A">
      <w:pPr>
        <w:jc w:val="center"/>
        <w:rPr>
          <w:rFonts w:ascii="Garamond" w:hAnsi="Garamond"/>
        </w:rPr>
      </w:pPr>
    </w:p>
    <w:p w:rsidR="00CF091A" w:rsidRDefault="00CF091A" w:rsidP="00CF091A">
      <w:pPr>
        <w:jc w:val="center"/>
        <w:rPr>
          <w:rFonts w:ascii="Garamond" w:hAnsi="Garamond"/>
        </w:rPr>
      </w:pPr>
    </w:p>
    <w:p w:rsidR="00CF091A" w:rsidRDefault="00CF091A" w:rsidP="00CF091A">
      <w:pPr>
        <w:jc w:val="center"/>
        <w:rPr>
          <w:rFonts w:ascii="Garamond" w:hAnsi="Garamond"/>
        </w:rPr>
      </w:pPr>
    </w:p>
    <w:p w:rsidR="00CF091A" w:rsidRPr="00B65C35" w:rsidRDefault="00CF091A" w:rsidP="00CF091A">
      <w:pPr>
        <w:rPr>
          <w:rFonts w:ascii="Garamond" w:hAnsi="Garamond"/>
          <w:sz w:val="20"/>
          <w:szCs w:val="20"/>
        </w:rPr>
      </w:pPr>
      <w:r>
        <w:rPr>
          <w:rFonts w:ascii="Garamond" w:hAnsi="Garamond"/>
        </w:rPr>
        <w:t xml:space="preserve">This lesson plan takes advantage of Experiments: Old Westbury Oral History </w:t>
      </w:r>
      <w:proofErr w:type="gramStart"/>
      <w:r>
        <w:rPr>
          <w:rFonts w:ascii="Garamond" w:hAnsi="Garamond"/>
        </w:rPr>
        <w:t>Project,</w:t>
      </w:r>
      <w:proofErr w:type="gramEnd"/>
      <w:r>
        <w:rPr>
          <w:rFonts w:ascii="Garamond" w:hAnsi="Garamond"/>
        </w:rPr>
        <w:t xml:space="preserve"> developed by Old Westbury’s American Studies Department from 2011-2013.  </w:t>
      </w:r>
      <w:hyperlink r:id="rId6" w:history="1">
        <w:r w:rsidRPr="00B65C35">
          <w:rPr>
            <w:rStyle w:val="Hyperlink"/>
            <w:rFonts w:ascii="Garamond" w:hAnsi="Garamond"/>
            <w:sz w:val="20"/>
            <w:szCs w:val="20"/>
          </w:rPr>
          <w:t>http://www.oldwestburyoralhistory.org/</w:t>
        </w:r>
      </w:hyperlink>
      <w:r w:rsidRPr="00B65C35">
        <w:rPr>
          <w:rFonts w:ascii="Garamond" w:hAnsi="Garamond"/>
          <w:sz w:val="20"/>
          <w:szCs w:val="20"/>
        </w:rPr>
        <w:t xml:space="preserve"> </w:t>
      </w:r>
    </w:p>
    <w:p w:rsidR="00CF091A" w:rsidRDefault="00CF091A" w:rsidP="00CF091A">
      <w:pPr>
        <w:rPr>
          <w:rFonts w:ascii="Garamond" w:hAnsi="Garamond"/>
        </w:rPr>
      </w:pPr>
    </w:p>
    <w:p w:rsidR="00CF091A" w:rsidRPr="0024779C" w:rsidRDefault="00CF091A" w:rsidP="00CF091A">
      <w:pPr>
        <w:rPr>
          <w:rFonts w:ascii="Garamond" w:hAnsi="Garamond"/>
        </w:rPr>
      </w:pPr>
      <w:r>
        <w:rPr>
          <w:rFonts w:ascii="Garamond" w:hAnsi="Garamond"/>
        </w:rPr>
        <w:t xml:space="preserve">The digital oral history project and archive, which contains video interview clips, full transcripts, and primary sources including </w:t>
      </w:r>
      <w:proofErr w:type="gramStart"/>
      <w:r>
        <w:rPr>
          <w:rFonts w:ascii="Garamond" w:hAnsi="Garamond"/>
        </w:rPr>
        <w:t>photographs</w:t>
      </w:r>
      <w:proofErr w:type="gramEnd"/>
      <w:r>
        <w:rPr>
          <w:rFonts w:ascii="Garamond" w:hAnsi="Garamond"/>
        </w:rPr>
        <w:t xml:space="preserve"> could be used in multiple courses, including First Year/Ethics of Engagement, Postwar America, African American studies, History of Colleges and Universities, or the History of the 1960s.</w:t>
      </w:r>
    </w:p>
    <w:p w:rsidR="00CF091A" w:rsidRDefault="00CF091A" w:rsidP="00CF091A">
      <w:pPr>
        <w:rPr>
          <w:rFonts w:ascii="Garamond" w:hAnsi="Garamond"/>
        </w:rPr>
      </w:pPr>
    </w:p>
    <w:p w:rsidR="00CF091A" w:rsidRPr="00985783" w:rsidRDefault="00CF091A" w:rsidP="00CF091A">
      <w:pPr>
        <w:rPr>
          <w:rFonts w:ascii="Garamond" w:hAnsi="Garamond"/>
          <w:b/>
        </w:rPr>
      </w:pPr>
      <w:r w:rsidRPr="00985783">
        <w:rPr>
          <w:rFonts w:ascii="Garamond" w:hAnsi="Garamond"/>
          <w:b/>
        </w:rPr>
        <w:t xml:space="preserve">Objective(s): </w:t>
      </w:r>
    </w:p>
    <w:p w:rsidR="00CF091A" w:rsidRDefault="00CF091A" w:rsidP="00CF091A">
      <w:pPr>
        <w:pStyle w:val="ListParagraph"/>
        <w:numPr>
          <w:ilvl w:val="0"/>
          <w:numId w:val="3"/>
        </w:numPr>
        <w:rPr>
          <w:rFonts w:ascii="Garamond" w:hAnsi="Garamond"/>
        </w:rPr>
      </w:pPr>
      <w:r>
        <w:rPr>
          <w:rFonts w:ascii="Garamond" w:hAnsi="Garamond"/>
        </w:rPr>
        <w:t>To understand the expansion and democratization of higher education in postwar America, and forces promoting greater inclusivity in higher education through a case study of one SUNY liberal arts college;</w:t>
      </w:r>
    </w:p>
    <w:p w:rsidR="00CF091A" w:rsidRDefault="00CF091A" w:rsidP="00CF091A">
      <w:pPr>
        <w:pStyle w:val="ListParagraph"/>
        <w:numPr>
          <w:ilvl w:val="0"/>
          <w:numId w:val="3"/>
        </w:numPr>
        <w:rPr>
          <w:rFonts w:ascii="Garamond" w:hAnsi="Garamond"/>
        </w:rPr>
      </w:pPr>
      <w:r>
        <w:rPr>
          <w:rFonts w:ascii="Garamond" w:hAnsi="Garamond"/>
        </w:rPr>
        <w:t>To understand historically how students and faculty have understood the relationship between higher education and civic engagement and/or activism;</w:t>
      </w:r>
    </w:p>
    <w:p w:rsidR="00CF091A" w:rsidRDefault="00CF091A" w:rsidP="00CF091A">
      <w:pPr>
        <w:pStyle w:val="ListParagraph"/>
        <w:numPr>
          <w:ilvl w:val="0"/>
          <w:numId w:val="3"/>
        </w:numPr>
        <w:rPr>
          <w:rFonts w:ascii="Garamond" w:hAnsi="Garamond"/>
        </w:rPr>
      </w:pPr>
      <w:r>
        <w:rPr>
          <w:rFonts w:ascii="Garamond" w:hAnsi="Garamond"/>
        </w:rPr>
        <w:t>To understand the political stakes and effects of campus turmoil in the 1960s, and assess college participants’ understanding of the impact of their engagement, both socially and personally;</w:t>
      </w:r>
    </w:p>
    <w:p w:rsidR="00CF091A" w:rsidRDefault="00CF091A" w:rsidP="00CF091A">
      <w:pPr>
        <w:pStyle w:val="ListParagraph"/>
        <w:numPr>
          <w:ilvl w:val="0"/>
          <w:numId w:val="3"/>
        </w:numPr>
        <w:rPr>
          <w:rFonts w:ascii="Garamond" w:hAnsi="Garamond"/>
        </w:rPr>
      </w:pPr>
      <w:r>
        <w:rPr>
          <w:rFonts w:ascii="Garamond" w:hAnsi="Garamond"/>
        </w:rPr>
        <w:t>To engage in the act of history by creating a narrative/thesis using conflicting stories and primary sources.</w:t>
      </w:r>
    </w:p>
    <w:p w:rsidR="00CF091A" w:rsidRPr="00985783" w:rsidRDefault="00CF091A" w:rsidP="00CF091A">
      <w:pPr>
        <w:pStyle w:val="ListParagraph"/>
        <w:numPr>
          <w:ilvl w:val="0"/>
          <w:numId w:val="3"/>
        </w:numPr>
        <w:rPr>
          <w:rFonts w:ascii="Garamond" w:hAnsi="Garamond"/>
        </w:rPr>
      </w:pPr>
      <w:r>
        <w:rPr>
          <w:rFonts w:ascii="Garamond" w:hAnsi="Garamond"/>
        </w:rPr>
        <w:lastRenderedPageBreak/>
        <w:t>(Particularly for civic engagement courses) To reflect on the meaning of higher education—as an institution within society, and for participants within institutions of higher education.</w:t>
      </w:r>
    </w:p>
    <w:p w:rsidR="00CF091A" w:rsidRDefault="00CF091A" w:rsidP="00CF091A">
      <w:pPr>
        <w:rPr>
          <w:rFonts w:ascii="Garamond" w:hAnsi="Garamond"/>
          <w:b/>
        </w:rPr>
      </w:pPr>
    </w:p>
    <w:p w:rsidR="00CF091A" w:rsidRPr="000B7F76" w:rsidRDefault="00CF091A" w:rsidP="00CF091A">
      <w:pPr>
        <w:rPr>
          <w:rFonts w:ascii="Garamond" w:hAnsi="Garamond"/>
          <w:b/>
        </w:rPr>
      </w:pPr>
      <w:r>
        <w:rPr>
          <w:rFonts w:ascii="Garamond" w:hAnsi="Garamond"/>
          <w:b/>
        </w:rPr>
        <w:t>Student Activities</w:t>
      </w:r>
      <w:r w:rsidRPr="000B7F76">
        <w:rPr>
          <w:rFonts w:ascii="Garamond" w:hAnsi="Garamond"/>
          <w:b/>
        </w:rPr>
        <w:t>:</w:t>
      </w:r>
    </w:p>
    <w:p w:rsidR="00CF091A" w:rsidRPr="000B7F76" w:rsidRDefault="00CF091A" w:rsidP="00CF091A">
      <w:pPr>
        <w:rPr>
          <w:rFonts w:ascii="Garamond" w:hAnsi="Garamond"/>
        </w:rPr>
      </w:pPr>
    </w:p>
    <w:p w:rsidR="00CF091A" w:rsidRPr="000B7F76" w:rsidRDefault="00CF091A" w:rsidP="00CF091A">
      <w:pPr>
        <w:rPr>
          <w:rFonts w:ascii="Garamond" w:hAnsi="Garamond"/>
          <w:b/>
          <w:i/>
        </w:rPr>
      </w:pPr>
      <w:r w:rsidRPr="000B7F76">
        <w:rPr>
          <w:rFonts w:ascii="Garamond" w:hAnsi="Garamond"/>
          <w:b/>
        </w:rPr>
        <w:t xml:space="preserve">Exercises using </w:t>
      </w:r>
      <w:r w:rsidRPr="000B7F76">
        <w:rPr>
          <w:rFonts w:ascii="Garamond" w:hAnsi="Garamond"/>
          <w:b/>
          <w:i/>
        </w:rPr>
        <w:t>Experiments: Old Westbury Oral History Project</w:t>
      </w:r>
    </w:p>
    <w:p w:rsidR="00CF091A" w:rsidRPr="000B7F76" w:rsidRDefault="00CF091A" w:rsidP="00CF091A">
      <w:pPr>
        <w:rPr>
          <w:rFonts w:ascii="Garamond" w:hAnsi="Garamond"/>
          <w:b/>
        </w:rPr>
      </w:pPr>
      <w:r w:rsidRPr="000B7F76">
        <w:rPr>
          <w:rFonts w:ascii="Garamond" w:hAnsi="Garamond"/>
          <w:b/>
        </w:rPr>
        <w:t>Primary Source Analysis #</w:t>
      </w:r>
      <w:proofErr w:type="gramStart"/>
      <w:r w:rsidRPr="000B7F76">
        <w:rPr>
          <w:rFonts w:ascii="Garamond" w:hAnsi="Garamond"/>
          <w:b/>
        </w:rPr>
        <w:t>1  Old</w:t>
      </w:r>
      <w:proofErr w:type="gramEnd"/>
      <w:r w:rsidRPr="000B7F76">
        <w:rPr>
          <w:rFonts w:ascii="Garamond" w:hAnsi="Garamond"/>
          <w:b/>
        </w:rPr>
        <w:t xml:space="preserve"> Westbury Beginnings</w:t>
      </w:r>
    </w:p>
    <w:p w:rsidR="00CF091A" w:rsidRPr="000B7F76" w:rsidRDefault="00CF091A" w:rsidP="00CF091A">
      <w:pPr>
        <w:rPr>
          <w:rFonts w:ascii="Garamond" w:hAnsi="Garamond"/>
          <w:b/>
          <w:i/>
        </w:rPr>
      </w:pPr>
    </w:p>
    <w:p w:rsidR="00CF091A" w:rsidRPr="000B7F76" w:rsidRDefault="00CF091A" w:rsidP="00CF091A">
      <w:pPr>
        <w:rPr>
          <w:rFonts w:ascii="Garamond" w:hAnsi="Garamond"/>
          <w:b/>
          <w:i/>
        </w:rPr>
      </w:pPr>
      <w:r w:rsidRPr="000B7F76">
        <w:rPr>
          <w:rFonts w:ascii="Garamond" w:hAnsi="Garamond"/>
          <w:b/>
          <w:i/>
        </w:rPr>
        <w:t>For Students</w:t>
      </w:r>
    </w:p>
    <w:tbl>
      <w:tblPr>
        <w:tblStyle w:val="TableGrid"/>
        <w:tblW w:w="0" w:type="auto"/>
        <w:tblLook w:val="01E0"/>
      </w:tblPr>
      <w:tblGrid>
        <w:gridCol w:w="8856"/>
      </w:tblGrid>
      <w:tr w:rsidR="00CF091A" w:rsidTr="00EB40EF">
        <w:tc>
          <w:tcPr>
            <w:tcW w:w="9576" w:type="dxa"/>
          </w:tcPr>
          <w:p w:rsidR="00CF091A" w:rsidRPr="00142014" w:rsidRDefault="00CF091A" w:rsidP="00EB40EF">
            <w:r w:rsidRPr="00142014">
              <w:rPr>
                <w:b/>
              </w:rPr>
              <w:t xml:space="preserve">Reading: </w:t>
            </w:r>
            <w:r w:rsidRPr="00142014">
              <w:t>SUNY College at Old Westbury,</w:t>
            </w:r>
            <w:r w:rsidRPr="00142014">
              <w:rPr>
                <w:b/>
              </w:rPr>
              <w:t xml:space="preserve"> </w:t>
            </w:r>
            <w:r w:rsidRPr="00142014">
              <w:t>“Statement of</w:t>
            </w:r>
            <w:r w:rsidRPr="00142014">
              <w:rPr>
                <w:b/>
              </w:rPr>
              <w:t xml:space="preserve"> </w:t>
            </w:r>
            <w:r w:rsidRPr="00142014">
              <w:t>First College,” September 1968</w:t>
            </w:r>
            <w:r>
              <w:t xml:space="preserve"> or 1972 “College Guide”</w:t>
            </w:r>
          </w:p>
          <w:p w:rsidR="00CF091A" w:rsidRDefault="00CF091A" w:rsidP="00EB40EF">
            <w:pPr>
              <w:rPr>
                <w:b/>
                <w:i/>
              </w:rPr>
            </w:pPr>
          </w:p>
          <w:p w:rsidR="00CF091A" w:rsidRDefault="00CF091A" w:rsidP="00EB40EF">
            <w:pPr>
              <w:rPr>
                <w:b/>
                <w:i/>
              </w:rPr>
            </w:pPr>
            <w:r w:rsidRPr="00142014">
              <w:rPr>
                <w:b/>
                <w:i/>
              </w:rPr>
              <w:t>Question: Identify the educational, social, and/or political values that sustained the first college’s mission</w:t>
            </w:r>
            <w:r>
              <w:rPr>
                <w:b/>
                <w:i/>
              </w:rPr>
              <w:t xml:space="preserve"> and make a list of them</w:t>
            </w:r>
            <w:r w:rsidRPr="00142014">
              <w:rPr>
                <w:b/>
                <w:i/>
              </w:rPr>
              <w:t>.  Use dire</w:t>
            </w:r>
            <w:r>
              <w:rPr>
                <w:b/>
                <w:i/>
              </w:rPr>
              <w:t>ct references to the “Statement” or “College Guide”</w:t>
            </w:r>
            <w:r w:rsidRPr="00142014">
              <w:rPr>
                <w:b/>
                <w:i/>
              </w:rPr>
              <w:t xml:space="preserve">.  </w:t>
            </w:r>
          </w:p>
          <w:p w:rsidR="00CF091A" w:rsidRDefault="00CF091A" w:rsidP="00EB40EF">
            <w:pPr>
              <w:rPr>
                <w:b/>
                <w:i/>
              </w:rPr>
            </w:pPr>
          </w:p>
          <w:p w:rsidR="00CF091A" w:rsidRDefault="00CF091A" w:rsidP="00EB40EF">
            <w:pPr>
              <w:rPr>
                <w:b/>
                <w:i/>
              </w:rPr>
            </w:pPr>
            <w:r>
              <w:rPr>
                <w:b/>
                <w:i/>
              </w:rPr>
              <w:t xml:space="preserve">Write a 250-500 word explanation of what you believe the educational, social and/or political values motivating the college’s mission.  </w:t>
            </w:r>
            <w:r w:rsidRPr="00142014">
              <w:rPr>
                <w:b/>
                <w:i/>
              </w:rPr>
              <w:t xml:space="preserve">Feel free to raise other issues raised by </w:t>
            </w:r>
            <w:r>
              <w:rPr>
                <w:b/>
                <w:i/>
              </w:rPr>
              <w:t>either primary source (1-2 pages)</w:t>
            </w:r>
          </w:p>
          <w:p w:rsidR="00CF091A" w:rsidRDefault="00CF091A" w:rsidP="00EB40EF">
            <w:pPr>
              <w:rPr>
                <w:b/>
                <w:i/>
              </w:rPr>
            </w:pPr>
          </w:p>
          <w:p w:rsidR="00CF091A" w:rsidRDefault="00CF091A" w:rsidP="00EB40EF">
            <w:pPr>
              <w:rPr>
                <w:b/>
                <w:i/>
              </w:rPr>
            </w:pPr>
            <w:r>
              <w:rPr>
                <w:b/>
                <w:i/>
              </w:rPr>
              <w:t xml:space="preserve">In Class: Break students up into small groups of three or four to discuss the values they identified.  What common themes emerge? What questions do students have about the first college at Old Westbury?  What surprises students about discussions of higher education’s mission half a century ago.  </w:t>
            </w:r>
          </w:p>
          <w:p w:rsidR="00CF091A" w:rsidRDefault="00CF091A" w:rsidP="00EB40EF">
            <w:pPr>
              <w:rPr>
                <w:b/>
                <w:i/>
              </w:rPr>
            </w:pPr>
          </w:p>
          <w:p w:rsidR="00CF091A" w:rsidRDefault="00CF091A" w:rsidP="00EB40EF">
            <w:pPr>
              <w:pStyle w:val="Heading2"/>
              <w:shd w:val="clear" w:color="auto" w:fill="FFFEFB"/>
            </w:pPr>
            <w:r w:rsidRPr="00121E49">
              <w:rPr>
                <w:rFonts w:asciiTheme="minorHAnsi" w:hAnsiTheme="minorHAnsi" w:cstheme="minorHAnsi"/>
                <w:sz w:val="24"/>
                <w:szCs w:val="24"/>
              </w:rPr>
              <w:t>For a class on the history of universities</w:t>
            </w:r>
            <w:r w:rsidRPr="00121E49">
              <w:rPr>
                <w:rFonts w:asciiTheme="minorHAnsi" w:hAnsiTheme="minorHAnsi" w:cstheme="minorHAnsi"/>
                <w:b w:val="0"/>
                <w:sz w:val="24"/>
                <w:szCs w:val="24"/>
              </w:rPr>
              <w:t xml:space="preserve"> it might be helpful to compare and contrast OW’s “Statement of First College,” with earlier examples of missions—for examples Harvard University’s 1650 charter: </w:t>
            </w:r>
            <w:hyperlink r:id="rId7" w:history="1">
              <w:r w:rsidRPr="00121E49">
                <w:rPr>
                  <w:rStyle w:val="Hyperlink"/>
                  <w:rFonts w:asciiTheme="minorHAnsi" w:hAnsiTheme="minorHAnsi" w:cstheme="minorHAnsi"/>
                  <w:b w:val="0"/>
                  <w:sz w:val="24"/>
                  <w:szCs w:val="24"/>
                </w:rPr>
                <w:t>https://emeritus.library.harvard.edu/university-archives/using-the-collections/online-resources/charter-of-1650</w:t>
              </w:r>
            </w:hyperlink>
            <w:r w:rsidRPr="00121E49">
              <w:rPr>
                <w:rFonts w:asciiTheme="minorHAnsi" w:hAnsiTheme="minorHAnsi" w:cstheme="minorHAnsi"/>
                <w:b w:val="0"/>
                <w:sz w:val="24"/>
                <w:szCs w:val="24"/>
              </w:rPr>
              <w:t xml:space="preserve">; </w:t>
            </w:r>
            <w:r>
              <w:rPr>
                <w:rFonts w:asciiTheme="minorHAnsi" w:hAnsiTheme="minorHAnsi" w:cstheme="minorHAnsi"/>
                <w:b w:val="0"/>
                <w:sz w:val="24"/>
                <w:szCs w:val="24"/>
              </w:rPr>
              <w:t xml:space="preserve">University of Virginia’s origins in </w:t>
            </w:r>
            <w:r w:rsidRPr="00121E49">
              <w:rPr>
                <w:rFonts w:asciiTheme="minorHAnsi" w:hAnsiTheme="minorHAnsi" w:cstheme="minorHAnsi"/>
                <w:b w:val="0"/>
                <w:sz w:val="24"/>
                <w:szCs w:val="24"/>
              </w:rPr>
              <w:t xml:space="preserve">“A letter from Thomas Jefferson to the late Peter Carr,” September 7, 1814 in 384-390, and “An Act for Establishing a College in the County of </w:t>
            </w:r>
            <w:proofErr w:type="spellStart"/>
            <w:r w:rsidRPr="00121E49">
              <w:rPr>
                <w:rFonts w:asciiTheme="minorHAnsi" w:hAnsiTheme="minorHAnsi" w:cstheme="minorHAnsi"/>
                <w:b w:val="0"/>
                <w:sz w:val="24"/>
                <w:szCs w:val="24"/>
              </w:rPr>
              <w:t>Abermarle</w:t>
            </w:r>
            <w:proofErr w:type="spellEnd"/>
            <w:r w:rsidRPr="00121E49">
              <w:rPr>
                <w:rFonts w:asciiTheme="minorHAnsi" w:hAnsiTheme="minorHAnsi" w:cstheme="minorHAnsi"/>
                <w:b w:val="0"/>
                <w:sz w:val="24"/>
                <w:szCs w:val="24"/>
              </w:rPr>
              <w:t xml:space="preserve">, 391-393 both in Nathaniel Francis Cabell, </w:t>
            </w:r>
            <w:r w:rsidRPr="00121E49">
              <w:rPr>
                <w:rFonts w:asciiTheme="minorHAnsi" w:hAnsiTheme="minorHAnsi" w:cstheme="minorHAnsi"/>
                <w:b w:val="0"/>
                <w:bCs w:val="0"/>
                <w:i/>
                <w:sz w:val="24"/>
                <w:szCs w:val="24"/>
              </w:rPr>
              <w:t>Early history of the University of Virginia, as contained in the letters of Thomas Jefferson and Joseph C. Cabell</w:t>
            </w:r>
            <w:r>
              <w:rPr>
                <w:rFonts w:asciiTheme="minorHAnsi" w:hAnsiTheme="minorHAnsi" w:cstheme="minorHAnsi"/>
                <w:b w:val="0"/>
                <w:bCs w:val="0"/>
                <w:sz w:val="24"/>
                <w:szCs w:val="24"/>
              </w:rPr>
              <w:t xml:space="preserve"> </w:t>
            </w:r>
            <w:r w:rsidRPr="00121E49">
              <w:rPr>
                <w:rFonts w:asciiTheme="minorHAnsi" w:hAnsiTheme="minorHAnsi" w:cstheme="minorHAnsi"/>
                <w:b w:val="0"/>
                <w:bCs w:val="0"/>
                <w:sz w:val="24"/>
                <w:szCs w:val="24"/>
              </w:rPr>
              <w:t xml:space="preserve"> (Richmond VA: JW Randolph, 1856)</w:t>
            </w:r>
            <w:r>
              <w:rPr>
                <w:rFonts w:asciiTheme="minorHAnsi" w:hAnsiTheme="minorHAnsi" w:cstheme="minorHAnsi"/>
                <w:b w:val="0"/>
                <w:bCs w:val="0"/>
                <w:sz w:val="24"/>
                <w:szCs w:val="24"/>
              </w:rPr>
              <w:t xml:space="preserve">, at </w:t>
            </w:r>
            <w:hyperlink r:id="rId8" w:history="1">
              <w:r w:rsidRPr="00121E49">
                <w:rPr>
                  <w:rStyle w:val="Hyperlink"/>
                  <w:b w:val="0"/>
                  <w:sz w:val="24"/>
                  <w:szCs w:val="24"/>
                </w:rPr>
                <w:t>https://babel.hathitrust.org/cgi/pt?id=nyp.33433074836200;view=1up;seq=422</w:t>
              </w:r>
            </w:hyperlink>
            <w:r>
              <w:rPr>
                <w:b w:val="0"/>
                <w:sz w:val="24"/>
                <w:szCs w:val="24"/>
              </w:rPr>
              <w:t xml:space="preserve">; and Robert M. Hutchins (former University of Chicago President—opponent to GI Bill, advocate for liberal arts education) “The Idea of  A College,” originally published in </w:t>
            </w:r>
            <w:r w:rsidRPr="00C12CAB">
              <w:rPr>
                <w:b w:val="0"/>
                <w:i/>
                <w:sz w:val="24"/>
                <w:szCs w:val="24"/>
              </w:rPr>
              <w:t>Measure</w:t>
            </w:r>
            <w:r w:rsidRPr="00C12CAB">
              <w:rPr>
                <w:b w:val="0"/>
                <w:sz w:val="24"/>
                <w:szCs w:val="24"/>
              </w:rPr>
              <w:t> 1 (Fall 1950): 363-371. Reprinted in </w:t>
            </w:r>
            <w:r w:rsidRPr="00C12CAB">
              <w:rPr>
                <w:b w:val="0"/>
                <w:i/>
                <w:sz w:val="24"/>
                <w:szCs w:val="24"/>
              </w:rPr>
              <w:t>Engaging the Humanities at the University of Chicago</w:t>
            </w:r>
            <w:r w:rsidRPr="00C12CAB">
              <w:rPr>
                <w:b w:val="0"/>
                <w:sz w:val="24"/>
                <w:szCs w:val="24"/>
              </w:rPr>
              <w:t xml:space="preserve">, ed. Philippe </w:t>
            </w:r>
            <w:proofErr w:type="spellStart"/>
            <w:r w:rsidRPr="00C12CAB">
              <w:rPr>
                <w:b w:val="0"/>
                <w:sz w:val="24"/>
                <w:szCs w:val="24"/>
              </w:rPr>
              <w:t>Desan</w:t>
            </w:r>
            <w:proofErr w:type="spellEnd"/>
            <w:r w:rsidRPr="00C12CAB">
              <w:rPr>
                <w:b w:val="0"/>
                <w:sz w:val="24"/>
                <w:szCs w:val="24"/>
              </w:rPr>
              <w:t xml:space="preserve"> (University of Chicago Press, 1995).</w:t>
            </w:r>
            <w:r w:rsidRPr="00C12CAB">
              <w:t xml:space="preserve"> </w:t>
            </w:r>
            <w:r>
              <w:rPr>
                <w:b w:val="0"/>
                <w:sz w:val="24"/>
                <w:szCs w:val="24"/>
              </w:rPr>
              <w:t xml:space="preserve">Available at </w:t>
            </w:r>
            <w:hyperlink r:id="rId9" w:history="1">
              <w:r w:rsidRPr="00F94361">
                <w:rPr>
                  <w:rStyle w:val="Hyperlink"/>
                  <w:b w:val="0"/>
                  <w:sz w:val="24"/>
                  <w:szCs w:val="24"/>
                </w:rPr>
                <w:t>http://www.ditext.com/hutchins/1950.html</w:t>
              </w:r>
            </w:hyperlink>
            <w:r>
              <w:rPr>
                <w:b w:val="0"/>
                <w:sz w:val="24"/>
                <w:szCs w:val="24"/>
              </w:rPr>
              <w:t xml:space="preserve"> </w:t>
            </w:r>
          </w:p>
          <w:p w:rsidR="00CF091A" w:rsidRPr="00121E49" w:rsidRDefault="00CF091A" w:rsidP="00EB40EF"/>
          <w:p w:rsidR="00CF091A" w:rsidRPr="000B7F76" w:rsidRDefault="00CF091A" w:rsidP="00EB40EF">
            <w:pPr>
              <w:rPr>
                <w:b/>
              </w:rPr>
            </w:pPr>
            <w:r w:rsidRPr="00142014">
              <w:rPr>
                <w:b/>
              </w:rPr>
              <w:t xml:space="preserve"> </w:t>
            </w:r>
          </w:p>
        </w:tc>
      </w:tr>
    </w:tbl>
    <w:p w:rsidR="00CF091A" w:rsidRDefault="00CF091A" w:rsidP="00CF091A">
      <w:pPr>
        <w:rPr>
          <w:b/>
          <w:i/>
        </w:rPr>
      </w:pPr>
    </w:p>
    <w:p w:rsidR="00CF091A" w:rsidRDefault="00CF091A" w:rsidP="00CF091A">
      <w:pPr>
        <w:rPr>
          <w:b/>
          <w:i/>
        </w:rPr>
      </w:pPr>
      <w:r w:rsidRPr="00142014">
        <w:rPr>
          <w:b/>
          <w:i/>
        </w:rPr>
        <w:t>For Professor</w:t>
      </w:r>
      <w:r>
        <w:rPr>
          <w:b/>
          <w:i/>
        </w:rPr>
        <w:t>—Assignment Techniques</w:t>
      </w:r>
    </w:p>
    <w:tbl>
      <w:tblPr>
        <w:tblStyle w:val="TableGrid"/>
        <w:tblW w:w="0" w:type="auto"/>
        <w:tblLook w:val="01E0"/>
      </w:tblPr>
      <w:tblGrid>
        <w:gridCol w:w="8856"/>
      </w:tblGrid>
      <w:tr w:rsidR="00CF091A" w:rsidTr="00EB40EF">
        <w:tc>
          <w:tcPr>
            <w:tcW w:w="9576" w:type="dxa"/>
          </w:tcPr>
          <w:p w:rsidR="00CF091A" w:rsidRPr="007B61DA" w:rsidRDefault="00CF091A" w:rsidP="00EB40EF">
            <w:pPr>
              <w:numPr>
                <w:ilvl w:val="0"/>
                <w:numId w:val="6"/>
              </w:numPr>
            </w:pPr>
            <w:r>
              <w:t>Identify in advance particular themes that seem noteworthy or worth development for your course.  Possible themes include: what constitutes college inquiry and the liberal arts tradition?  What is the relationship between professor and student?  What were the pressing issues of education in the late 1960s, as college was being democratized?</w:t>
            </w:r>
          </w:p>
        </w:tc>
      </w:tr>
    </w:tbl>
    <w:p w:rsidR="00CF091A" w:rsidRDefault="00CF091A" w:rsidP="00CF091A">
      <w:pPr>
        <w:rPr>
          <w:b/>
          <w:sz w:val="28"/>
          <w:szCs w:val="28"/>
        </w:rPr>
      </w:pPr>
      <w:proofErr w:type="gramStart"/>
      <w:r w:rsidRPr="004E4A1F">
        <w:rPr>
          <w:b/>
          <w:sz w:val="28"/>
          <w:szCs w:val="28"/>
        </w:rPr>
        <w:lastRenderedPageBreak/>
        <w:t>Primary Source Analysis</w:t>
      </w:r>
      <w:r>
        <w:rPr>
          <w:b/>
          <w:sz w:val="28"/>
          <w:szCs w:val="28"/>
        </w:rPr>
        <w:t xml:space="preserve"> #2</w:t>
      </w:r>
      <w:r w:rsidRPr="004E4A1F">
        <w:rPr>
          <w:b/>
          <w:sz w:val="28"/>
          <w:szCs w:val="28"/>
        </w:rPr>
        <w:t>.</w:t>
      </w:r>
      <w:proofErr w:type="gramEnd"/>
      <w:r>
        <w:rPr>
          <w:b/>
          <w:sz w:val="28"/>
          <w:szCs w:val="28"/>
        </w:rPr>
        <w:t xml:space="preserve">  Old Westbury Values and Mission</w:t>
      </w:r>
    </w:p>
    <w:p w:rsidR="00CF091A" w:rsidRPr="00D26587" w:rsidRDefault="00CF091A" w:rsidP="00CF091A">
      <w:pPr>
        <w:rPr>
          <w:b/>
          <w:sz w:val="28"/>
          <w:szCs w:val="28"/>
        </w:rPr>
      </w:pPr>
      <w:r w:rsidRPr="004E4A1F">
        <w:rPr>
          <w:b/>
          <w:i/>
        </w:rPr>
        <w:t>To Students</w:t>
      </w:r>
    </w:p>
    <w:tbl>
      <w:tblPr>
        <w:tblStyle w:val="TableGrid"/>
        <w:tblW w:w="0" w:type="auto"/>
        <w:tblLook w:val="01E0"/>
      </w:tblPr>
      <w:tblGrid>
        <w:gridCol w:w="8856"/>
      </w:tblGrid>
      <w:tr w:rsidR="00CF091A" w:rsidTr="00EB40EF">
        <w:tc>
          <w:tcPr>
            <w:tcW w:w="8856" w:type="dxa"/>
          </w:tcPr>
          <w:p w:rsidR="00CF091A" w:rsidRDefault="00CF091A" w:rsidP="00EB40EF">
            <w:pPr>
              <w:rPr>
                <w:b/>
              </w:rPr>
            </w:pPr>
            <w:r>
              <w:rPr>
                <w:b/>
              </w:rPr>
              <w:t>Old Westbury—Perspectives on the Past</w:t>
            </w:r>
          </w:p>
          <w:p w:rsidR="00CF091A" w:rsidRDefault="00CF091A" w:rsidP="00EB40EF">
            <w:smartTag w:uri="urn:schemas-microsoft-com:office:smarttags" w:element="City">
              <w:smartTag w:uri="urn:schemas-microsoft-com:office:smarttags" w:element="place">
                <w:r>
                  <w:rPr>
                    <w:b/>
                  </w:rPr>
                  <w:t>Readings</w:t>
                </w:r>
              </w:smartTag>
            </w:smartTag>
            <w:r>
              <w:rPr>
                <w:b/>
              </w:rPr>
              <w:t xml:space="preserve">: </w:t>
            </w:r>
            <w:r w:rsidRPr="004E4A1F">
              <w:t xml:space="preserve">Transcript </w:t>
            </w:r>
            <w:r w:rsidRPr="00A92D93">
              <w:rPr>
                <w:sz w:val="22"/>
                <w:szCs w:val="22"/>
              </w:rPr>
              <w:t>Interviews of Presidents John Maguire and Harr</w:t>
            </w:r>
            <w:r>
              <w:rPr>
                <w:sz w:val="22"/>
                <w:szCs w:val="22"/>
              </w:rPr>
              <w:t xml:space="preserve">is </w:t>
            </w:r>
            <w:proofErr w:type="spellStart"/>
            <w:r>
              <w:rPr>
                <w:sz w:val="22"/>
                <w:szCs w:val="22"/>
              </w:rPr>
              <w:t>Wofford</w:t>
            </w:r>
            <w:proofErr w:type="spellEnd"/>
            <w:r>
              <w:rPr>
                <w:sz w:val="22"/>
                <w:szCs w:val="22"/>
              </w:rPr>
              <w:t xml:space="preserve">, Faculty Liz </w:t>
            </w:r>
            <w:proofErr w:type="spellStart"/>
            <w:r>
              <w:rPr>
                <w:sz w:val="22"/>
                <w:szCs w:val="22"/>
              </w:rPr>
              <w:t>Ewen</w:t>
            </w:r>
            <w:proofErr w:type="spellEnd"/>
            <w:r>
              <w:rPr>
                <w:sz w:val="22"/>
                <w:szCs w:val="22"/>
              </w:rPr>
              <w:t xml:space="preserve">, Samuel von </w:t>
            </w:r>
            <w:proofErr w:type="spellStart"/>
            <w:r>
              <w:rPr>
                <w:sz w:val="22"/>
                <w:szCs w:val="22"/>
              </w:rPr>
              <w:t>Winbush</w:t>
            </w:r>
            <w:proofErr w:type="spellEnd"/>
            <w:r>
              <w:rPr>
                <w:sz w:val="22"/>
                <w:szCs w:val="22"/>
              </w:rPr>
              <w:t>,</w:t>
            </w:r>
            <w:r w:rsidRPr="00A92D93">
              <w:rPr>
                <w:sz w:val="22"/>
                <w:szCs w:val="22"/>
              </w:rPr>
              <w:t xml:space="preserve"> Carlos Russell, Alumni Francis </w:t>
            </w:r>
            <w:proofErr w:type="spellStart"/>
            <w:r w:rsidRPr="00A92D93">
              <w:rPr>
                <w:sz w:val="22"/>
                <w:szCs w:val="22"/>
              </w:rPr>
              <w:t>Koster</w:t>
            </w:r>
            <w:proofErr w:type="spellEnd"/>
            <w:r w:rsidRPr="00A92D93">
              <w:rPr>
                <w:sz w:val="22"/>
                <w:szCs w:val="22"/>
              </w:rPr>
              <w:t xml:space="preserve">, </w:t>
            </w:r>
            <w:proofErr w:type="spellStart"/>
            <w:r w:rsidRPr="00A92D93">
              <w:rPr>
                <w:sz w:val="22"/>
                <w:szCs w:val="22"/>
              </w:rPr>
              <w:t>Ghebre</w:t>
            </w:r>
            <w:proofErr w:type="spellEnd"/>
            <w:r w:rsidRPr="00A92D93">
              <w:rPr>
                <w:sz w:val="22"/>
                <w:szCs w:val="22"/>
              </w:rPr>
              <w:t xml:space="preserve"> </w:t>
            </w:r>
            <w:proofErr w:type="spellStart"/>
            <w:r w:rsidRPr="00A92D93">
              <w:rPr>
                <w:sz w:val="22"/>
                <w:szCs w:val="22"/>
              </w:rPr>
              <w:t>Mehreatab</w:t>
            </w:r>
            <w:proofErr w:type="spellEnd"/>
            <w:r w:rsidRPr="00A92D93">
              <w:rPr>
                <w:sz w:val="22"/>
                <w:szCs w:val="22"/>
              </w:rPr>
              <w:t xml:space="preserve">, </w:t>
            </w:r>
            <w:r>
              <w:rPr>
                <w:sz w:val="22"/>
                <w:szCs w:val="22"/>
              </w:rPr>
              <w:t xml:space="preserve">Deborah </w:t>
            </w:r>
            <w:proofErr w:type="spellStart"/>
            <w:r>
              <w:rPr>
                <w:sz w:val="22"/>
                <w:szCs w:val="22"/>
              </w:rPr>
              <w:t>Leav</w:t>
            </w:r>
            <w:r w:rsidRPr="00A92D93">
              <w:rPr>
                <w:sz w:val="22"/>
                <w:szCs w:val="22"/>
              </w:rPr>
              <w:t>y</w:t>
            </w:r>
            <w:proofErr w:type="spellEnd"/>
            <w:r w:rsidRPr="00A92D93">
              <w:rPr>
                <w:sz w:val="22"/>
                <w:szCs w:val="22"/>
              </w:rPr>
              <w:t xml:space="preserve">, Frank Miata, &amp; Candida De </w:t>
            </w:r>
            <w:proofErr w:type="spellStart"/>
            <w:r w:rsidRPr="00A92D93">
              <w:rPr>
                <w:sz w:val="22"/>
                <w:szCs w:val="22"/>
              </w:rPr>
              <w:t>Luise</w:t>
            </w:r>
            <w:proofErr w:type="spellEnd"/>
            <w:r>
              <w:t>.</w:t>
            </w:r>
          </w:p>
          <w:p w:rsidR="00CF091A" w:rsidRPr="009054EE" w:rsidRDefault="00CF091A" w:rsidP="00EB40EF">
            <w:pPr>
              <w:rPr>
                <w:b/>
                <w:i/>
              </w:rPr>
            </w:pPr>
            <w:r>
              <w:rPr>
                <w:b/>
                <w:i/>
              </w:rPr>
              <w:t xml:space="preserve"> </w:t>
            </w:r>
          </w:p>
          <w:p w:rsidR="00CF091A" w:rsidRDefault="00CF091A" w:rsidP="00EB40EF">
            <w:pPr>
              <w:rPr>
                <w:b/>
                <w:i/>
              </w:rPr>
            </w:pPr>
            <w:r w:rsidRPr="009054EE">
              <w:rPr>
                <w:b/>
                <w:i/>
              </w:rPr>
              <w:t>Question:</w:t>
            </w:r>
            <w:r>
              <w:rPr>
                <w:b/>
                <w:i/>
              </w:rPr>
              <w:t xml:space="preserve"> </w:t>
            </w:r>
            <w:r w:rsidRPr="009054EE">
              <w:rPr>
                <w:b/>
                <w:i/>
              </w:rPr>
              <w:t xml:space="preserve"> Using your interview as a primary source, describe some of the most important things you learn about OW </w:t>
            </w:r>
            <w:r>
              <w:rPr>
                <w:b/>
                <w:i/>
              </w:rPr>
              <w:t xml:space="preserve">(a college education) </w:t>
            </w:r>
            <w:r w:rsidRPr="009054EE">
              <w:rPr>
                <w:b/>
                <w:i/>
              </w:rPr>
              <w:t>from the interview.  Do the narrators</w:t>
            </w:r>
            <w:r>
              <w:rPr>
                <w:b/>
                <w:i/>
              </w:rPr>
              <w:t>’</w:t>
            </w:r>
            <w:r w:rsidRPr="009054EE">
              <w:rPr>
                <w:b/>
                <w:i/>
              </w:rPr>
              <w:t xml:space="preserve"> views coincide</w:t>
            </w:r>
            <w:r>
              <w:rPr>
                <w:b/>
                <w:i/>
              </w:rPr>
              <w:t xml:space="preserve"> about events and/or the meaning of Old Westbury, or do they disagree</w:t>
            </w:r>
            <w:r w:rsidRPr="009054EE">
              <w:rPr>
                <w:b/>
                <w:i/>
              </w:rPr>
              <w:t>?</w:t>
            </w:r>
            <w:r>
              <w:rPr>
                <w:b/>
                <w:i/>
              </w:rPr>
              <w:t xml:space="preserve">  What themes emerge from the interviews? Pick out some key quotes that make the narrators’ point, or are strong quotes to sustain your observations.  (2-3 pages)</w:t>
            </w:r>
          </w:p>
          <w:p w:rsidR="00CF091A" w:rsidRDefault="00CF091A" w:rsidP="00EB40EF">
            <w:pPr>
              <w:rPr>
                <w:b/>
                <w:i/>
              </w:rPr>
            </w:pPr>
          </w:p>
        </w:tc>
      </w:tr>
    </w:tbl>
    <w:p w:rsidR="00CF091A" w:rsidRDefault="00CF091A" w:rsidP="00CF091A">
      <w:pPr>
        <w:rPr>
          <w:b/>
          <w:i/>
        </w:rPr>
      </w:pPr>
    </w:p>
    <w:p w:rsidR="00CF091A" w:rsidRDefault="00CF091A" w:rsidP="00CF091A">
      <w:pPr>
        <w:rPr>
          <w:b/>
          <w:i/>
        </w:rPr>
      </w:pPr>
      <w:r>
        <w:rPr>
          <w:b/>
          <w:i/>
        </w:rPr>
        <w:t>For Professor--</w:t>
      </w:r>
      <w:r w:rsidRPr="004E4A1F">
        <w:rPr>
          <w:b/>
          <w:i/>
        </w:rPr>
        <w:t>Assignment techniques</w:t>
      </w:r>
    </w:p>
    <w:tbl>
      <w:tblPr>
        <w:tblStyle w:val="TableGrid"/>
        <w:tblW w:w="0" w:type="auto"/>
        <w:tblLook w:val="01E0"/>
      </w:tblPr>
      <w:tblGrid>
        <w:gridCol w:w="8856"/>
      </w:tblGrid>
      <w:tr w:rsidR="00CF091A" w:rsidTr="00EB40EF">
        <w:tc>
          <w:tcPr>
            <w:tcW w:w="8856" w:type="dxa"/>
          </w:tcPr>
          <w:p w:rsidR="00CF091A" w:rsidRDefault="00CF091A" w:rsidP="00EB40EF">
            <w:pPr>
              <w:numPr>
                <w:ilvl w:val="0"/>
                <w:numId w:val="4"/>
              </w:numPr>
            </w:pPr>
            <w:r w:rsidRPr="004E4A1F">
              <w:t>Give each student three distinct interviews so that they get t</w:t>
            </w:r>
            <w:r>
              <w:t xml:space="preserve">hree divergent viewpoints on Old Westbury.   </w:t>
            </w:r>
          </w:p>
          <w:p w:rsidR="00CF091A" w:rsidRDefault="00CF091A" w:rsidP="00EB40EF"/>
          <w:p w:rsidR="00CF091A" w:rsidRDefault="00CF091A" w:rsidP="00EB40EF">
            <w:pPr>
              <w:numPr>
                <w:ilvl w:val="0"/>
                <w:numId w:val="4"/>
              </w:numPr>
            </w:pPr>
            <w:r>
              <w:t>Make sure that each student has a mix of administrator, student and faculty viewpoints.</w:t>
            </w:r>
          </w:p>
          <w:p w:rsidR="00CF091A" w:rsidRDefault="00CF091A" w:rsidP="00EB40EF"/>
          <w:p w:rsidR="00CF091A" w:rsidRDefault="00CF091A" w:rsidP="00EB40EF">
            <w:pPr>
              <w:numPr>
                <w:ilvl w:val="0"/>
                <w:numId w:val="4"/>
              </w:numPr>
            </w:pPr>
            <w:r>
              <w:t>Cross fertilize—so that no group of students have the same mix of interviews.  (Conversely, you could create groups that are the same, and have them do group work to determine common themes, then share with classroom to see if there are differences between groups.  Such groups could be divided by race and or gender; by status at college, or by specific themes, for examples radicals vs. reformers.)</w:t>
            </w:r>
          </w:p>
          <w:p w:rsidR="00CF091A" w:rsidRDefault="00CF091A" w:rsidP="00EB40EF"/>
          <w:p w:rsidR="00CF091A" w:rsidRDefault="00CF091A" w:rsidP="00EB40EF">
            <w:pPr>
              <w:numPr>
                <w:ilvl w:val="0"/>
                <w:numId w:val="4"/>
              </w:numPr>
            </w:pPr>
            <w:r>
              <w:t>Class discussion questions.</w:t>
            </w:r>
          </w:p>
          <w:p w:rsidR="00CF091A" w:rsidRDefault="00CF091A" w:rsidP="00EB40EF"/>
          <w:p w:rsidR="00CF091A" w:rsidRPr="00852563" w:rsidRDefault="00CF091A" w:rsidP="00EB40EF">
            <w:pPr>
              <w:rPr>
                <w:i/>
              </w:rPr>
            </w:pPr>
            <w:r w:rsidRPr="00852563">
              <w:rPr>
                <w:i/>
              </w:rPr>
              <w:t>What motivated narrators to come to Old Westbury?</w:t>
            </w:r>
          </w:p>
          <w:p w:rsidR="00CF091A" w:rsidRPr="00852563" w:rsidRDefault="00CF091A" w:rsidP="00EB40EF">
            <w:pPr>
              <w:rPr>
                <w:i/>
              </w:rPr>
            </w:pPr>
          </w:p>
          <w:p w:rsidR="00CF091A" w:rsidRPr="00852563" w:rsidRDefault="00CF091A" w:rsidP="00EB40EF">
            <w:pPr>
              <w:rPr>
                <w:i/>
              </w:rPr>
            </w:pPr>
            <w:r w:rsidRPr="00852563">
              <w:rPr>
                <w:i/>
              </w:rPr>
              <w:t>How do the social movements of the 1960s (or earlier) feed narrators’ activism</w:t>
            </w:r>
            <w:r>
              <w:rPr>
                <w:i/>
              </w:rPr>
              <w:t>?</w:t>
            </w:r>
          </w:p>
          <w:p w:rsidR="00CF091A" w:rsidRPr="00852563" w:rsidRDefault="00CF091A" w:rsidP="00EB40EF">
            <w:pPr>
              <w:rPr>
                <w:i/>
              </w:rPr>
            </w:pPr>
          </w:p>
          <w:p w:rsidR="00CF091A" w:rsidRPr="00852563" w:rsidRDefault="00CF091A" w:rsidP="00EB40EF">
            <w:pPr>
              <w:rPr>
                <w:i/>
              </w:rPr>
            </w:pPr>
            <w:r w:rsidRPr="00852563">
              <w:rPr>
                <w:i/>
              </w:rPr>
              <w:t>What problems did Old Westbury encounter?  Why do you think these problems occurred?   Could something have been done to address conflict at Old Westbury?</w:t>
            </w:r>
          </w:p>
          <w:p w:rsidR="00CF091A" w:rsidRPr="00852563" w:rsidRDefault="00CF091A" w:rsidP="00EB40EF">
            <w:pPr>
              <w:rPr>
                <w:i/>
              </w:rPr>
            </w:pPr>
          </w:p>
          <w:p w:rsidR="00CF091A" w:rsidRPr="00852563" w:rsidRDefault="00CF091A" w:rsidP="00EB40EF">
            <w:pPr>
              <w:rPr>
                <w:i/>
              </w:rPr>
            </w:pPr>
            <w:r w:rsidRPr="00852563">
              <w:rPr>
                <w:i/>
              </w:rPr>
              <w:t>What, in our narrators’ views, are the advantages of Old Westbury diversity?</w:t>
            </w:r>
          </w:p>
          <w:p w:rsidR="00CF091A" w:rsidRPr="00852563" w:rsidRDefault="00CF091A" w:rsidP="00EB40EF">
            <w:pPr>
              <w:rPr>
                <w:i/>
              </w:rPr>
            </w:pPr>
          </w:p>
          <w:p w:rsidR="00CF091A" w:rsidRDefault="00CF091A" w:rsidP="00EB40EF">
            <w:pPr>
              <w:rPr>
                <w:i/>
              </w:rPr>
            </w:pPr>
            <w:r w:rsidRPr="00852563">
              <w:rPr>
                <w:i/>
              </w:rPr>
              <w:t>What are some of the difficulties students, faculty and administrators faced due to the college’s diversity?</w:t>
            </w:r>
          </w:p>
          <w:p w:rsidR="00CF091A" w:rsidRDefault="00CF091A" w:rsidP="00EB40EF">
            <w:pPr>
              <w:rPr>
                <w:i/>
              </w:rPr>
            </w:pPr>
          </w:p>
          <w:p w:rsidR="00CF091A" w:rsidRPr="00852563" w:rsidRDefault="00CF091A" w:rsidP="00EB40EF">
            <w:pPr>
              <w:rPr>
                <w:i/>
              </w:rPr>
            </w:pPr>
            <w:r>
              <w:rPr>
                <w:i/>
              </w:rPr>
              <w:t>What limits did you perceive in these interviews?  Were there topics you believed they did not explore, biases you thought the narrator exhibited?  What more would you need to know to identify if such bias or limits existed?</w:t>
            </w:r>
          </w:p>
          <w:p w:rsidR="00CF091A" w:rsidRDefault="00CF091A" w:rsidP="00EB40EF">
            <w:pPr>
              <w:rPr>
                <w:b/>
                <w:i/>
              </w:rPr>
            </w:pPr>
          </w:p>
        </w:tc>
      </w:tr>
    </w:tbl>
    <w:p w:rsidR="00CF091A" w:rsidRDefault="00CF091A" w:rsidP="00CF091A"/>
    <w:p w:rsidR="00CF091A" w:rsidRDefault="00CF091A" w:rsidP="00CF091A">
      <w:pPr>
        <w:rPr>
          <w:b/>
          <w:i/>
        </w:rPr>
      </w:pPr>
      <w:r w:rsidRPr="004E4A1F">
        <w:rPr>
          <w:b/>
          <w:i/>
        </w:rPr>
        <w:t>Learning outcomes</w:t>
      </w:r>
    </w:p>
    <w:tbl>
      <w:tblPr>
        <w:tblStyle w:val="TableGrid"/>
        <w:tblW w:w="0" w:type="auto"/>
        <w:tblLook w:val="01E0"/>
      </w:tblPr>
      <w:tblGrid>
        <w:gridCol w:w="8856"/>
      </w:tblGrid>
      <w:tr w:rsidR="00CF091A" w:rsidTr="00EB40EF">
        <w:tc>
          <w:tcPr>
            <w:tcW w:w="8856" w:type="dxa"/>
          </w:tcPr>
          <w:p w:rsidR="00CF091A" w:rsidRDefault="00CF091A" w:rsidP="00EB40EF">
            <w:pPr>
              <w:numPr>
                <w:ilvl w:val="0"/>
                <w:numId w:val="5"/>
              </w:numPr>
            </w:pPr>
            <w:r>
              <w:t>Acquaintance with social movements, educational diversity, and educational democratization in the postwar era.</w:t>
            </w:r>
          </w:p>
          <w:p w:rsidR="00CF091A" w:rsidRDefault="00CF091A" w:rsidP="00EB40EF">
            <w:pPr>
              <w:numPr>
                <w:ilvl w:val="0"/>
                <w:numId w:val="5"/>
              </w:numPr>
            </w:pPr>
            <w:r>
              <w:t>Practice identifying key historical issues in narrators’ terms, and identifying divergent perspectives</w:t>
            </w:r>
          </w:p>
          <w:p w:rsidR="00CF091A" w:rsidRDefault="00CF091A" w:rsidP="00EB40EF">
            <w:pPr>
              <w:numPr>
                <w:ilvl w:val="0"/>
                <w:numId w:val="5"/>
              </w:numPr>
            </w:pPr>
            <w:r>
              <w:t>Development of argument utilizing historical primary sources</w:t>
            </w:r>
          </w:p>
          <w:p w:rsidR="00CF091A" w:rsidRPr="00852563" w:rsidRDefault="00CF091A" w:rsidP="00EB40EF">
            <w:pPr>
              <w:numPr>
                <w:ilvl w:val="0"/>
                <w:numId w:val="5"/>
              </w:numPr>
            </w:pPr>
            <w:r>
              <w:t>Awareness of limits and possibilities of oral history testimony</w:t>
            </w:r>
          </w:p>
        </w:tc>
      </w:tr>
    </w:tbl>
    <w:p w:rsidR="00CF091A" w:rsidRDefault="00CF091A" w:rsidP="00CF091A">
      <w:pPr>
        <w:rPr>
          <w:b/>
        </w:rPr>
      </w:pPr>
    </w:p>
    <w:p w:rsidR="00CF091A" w:rsidRDefault="00CF091A">
      <w:pPr>
        <w:rPr>
          <w:b/>
        </w:rPr>
      </w:pPr>
      <w:r>
        <w:rPr>
          <w:b/>
        </w:rPr>
        <w:br w:type="page"/>
      </w:r>
    </w:p>
    <w:p w:rsidR="00CF091A" w:rsidRPr="00142014" w:rsidRDefault="00CF091A" w:rsidP="00CF091A">
      <w:pPr>
        <w:rPr>
          <w:b/>
          <w:sz w:val="28"/>
          <w:szCs w:val="28"/>
        </w:rPr>
      </w:pPr>
      <w:r>
        <w:rPr>
          <w:b/>
          <w:sz w:val="28"/>
          <w:szCs w:val="28"/>
        </w:rPr>
        <w:lastRenderedPageBreak/>
        <w:t>Synthesizing History</w:t>
      </w:r>
    </w:p>
    <w:p w:rsidR="00CF091A" w:rsidRDefault="00CF091A" w:rsidP="00CF091A">
      <w:pPr>
        <w:rPr>
          <w:b/>
          <w:i/>
        </w:rPr>
      </w:pPr>
    </w:p>
    <w:p w:rsidR="00CF091A" w:rsidRDefault="00CF091A" w:rsidP="00CF091A">
      <w:pPr>
        <w:rPr>
          <w:b/>
          <w:i/>
        </w:rPr>
      </w:pPr>
      <w:r>
        <w:rPr>
          <w:b/>
          <w:i/>
        </w:rPr>
        <w:t>For Students</w:t>
      </w:r>
    </w:p>
    <w:p w:rsidR="00CF091A" w:rsidRDefault="00CF091A" w:rsidP="00CF091A">
      <w:pPr>
        <w:rPr>
          <w:b/>
          <w:i/>
        </w:rPr>
      </w:pPr>
    </w:p>
    <w:tbl>
      <w:tblPr>
        <w:tblStyle w:val="TableGrid"/>
        <w:tblW w:w="0" w:type="auto"/>
        <w:tblLook w:val="01E0"/>
      </w:tblPr>
      <w:tblGrid>
        <w:gridCol w:w="8856"/>
      </w:tblGrid>
      <w:tr w:rsidR="00CF091A" w:rsidTr="00EB40EF">
        <w:tc>
          <w:tcPr>
            <w:tcW w:w="9576" w:type="dxa"/>
          </w:tcPr>
          <w:p w:rsidR="00CF091A" w:rsidRDefault="00CF091A" w:rsidP="00EB40EF">
            <w:pPr>
              <w:rPr>
                <w:sz w:val="22"/>
                <w:szCs w:val="22"/>
              </w:rPr>
            </w:pPr>
            <w:smartTag w:uri="urn:schemas-microsoft-com:office:smarttags" w:element="City">
              <w:smartTag w:uri="urn:schemas-microsoft-com:office:smarttags" w:element="place">
                <w:r w:rsidRPr="00171334">
                  <w:rPr>
                    <w:b/>
                    <w:sz w:val="22"/>
                    <w:szCs w:val="22"/>
                  </w:rPr>
                  <w:t>Reading</w:t>
                </w:r>
              </w:smartTag>
            </w:smartTag>
            <w:r w:rsidRPr="00171334">
              <w:rPr>
                <w:b/>
                <w:sz w:val="22"/>
                <w:szCs w:val="22"/>
              </w:rPr>
              <w:t xml:space="preserve">: </w:t>
            </w:r>
            <w:r>
              <w:rPr>
                <w:sz w:val="22"/>
                <w:szCs w:val="22"/>
              </w:rPr>
              <w:t xml:space="preserve"> Primary Sources: </w:t>
            </w:r>
            <w:proofErr w:type="spellStart"/>
            <w:r>
              <w:rPr>
                <w:sz w:val="22"/>
                <w:szCs w:val="22"/>
              </w:rPr>
              <w:t>Mugbook</w:t>
            </w:r>
            <w:proofErr w:type="spellEnd"/>
            <w:r>
              <w:rPr>
                <w:sz w:val="22"/>
                <w:szCs w:val="22"/>
              </w:rPr>
              <w:t xml:space="preserve">, </w:t>
            </w:r>
            <w:proofErr w:type="spellStart"/>
            <w:r>
              <w:rPr>
                <w:sz w:val="22"/>
                <w:szCs w:val="22"/>
              </w:rPr>
              <w:t>Kranes</w:t>
            </w:r>
            <w:proofErr w:type="spellEnd"/>
            <w:r>
              <w:rPr>
                <w:sz w:val="22"/>
                <w:szCs w:val="22"/>
              </w:rPr>
              <w:t xml:space="preserve">, “The Anatomy of State U,” </w:t>
            </w:r>
            <w:proofErr w:type="spellStart"/>
            <w:r>
              <w:rPr>
                <w:sz w:val="22"/>
                <w:szCs w:val="22"/>
              </w:rPr>
              <w:t>Wofford</w:t>
            </w:r>
            <w:proofErr w:type="spellEnd"/>
            <w:r>
              <w:rPr>
                <w:sz w:val="22"/>
                <w:szCs w:val="22"/>
              </w:rPr>
              <w:t xml:space="preserve">, “Creating an Experimental College of a </w:t>
            </w:r>
            <w:smartTag w:uri="urn:schemas-microsoft-com:office:smarttags" w:element="place">
              <w:smartTag w:uri="urn:schemas-microsoft-com:office:smarttags" w:element="PlaceType">
                <w:r>
                  <w:rPr>
                    <w:sz w:val="22"/>
                    <w:szCs w:val="22"/>
                  </w:rPr>
                  <w:t>State</w:t>
                </w:r>
              </w:smartTag>
              <w:r>
                <w:rPr>
                  <w:sz w:val="22"/>
                  <w:szCs w:val="22"/>
                </w:rPr>
                <w:t xml:space="preserve"> </w:t>
              </w:r>
              <w:smartTag w:uri="urn:schemas-microsoft-com:office:smarttags" w:element="PlaceType">
                <w:r>
                  <w:rPr>
                    <w:sz w:val="22"/>
                    <w:szCs w:val="22"/>
                  </w:rPr>
                  <w:t>University</w:t>
                </w:r>
              </w:smartTag>
            </w:smartTag>
            <w:r>
              <w:rPr>
                <w:sz w:val="22"/>
                <w:szCs w:val="22"/>
              </w:rPr>
              <w:t xml:space="preserve">.” </w:t>
            </w:r>
          </w:p>
          <w:p w:rsidR="00CF091A" w:rsidRDefault="00CF091A" w:rsidP="00EB40EF">
            <w:r>
              <w:rPr>
                <w:sz w:val="22"/>
                <w:szCs w:val="22"/>
              </w:rPr>
              <w:t>Secondary Sources:</w:t>
            </w:r>
            <w:r w:rsidRPr="00401847">
              <w:rPr>
                <w:sz w:val="22"/>
                <w:szCs w:val="22"/>
              </w:rPr>
              <w:t xml:space="preserve"> </w:t>
            </w:r>
            <w:r w:rsidRPr="00401847">
              <w:rPr>
                <w:color w:val="333333"/>
                <w:shd w:val="clear" w:color="auto" w:fill="FFFFFF"/>
              </w:rPr>
              <w:t xml:space="preserve">John </w:t>
            </w:r>
            <w:proofErr w:type="spellStart"/>
            <w:r w:rsidRPr="00401847">
              <w:rPr>
                <w:color w:val="333333"/>
                <w:shd w:val="clear" w:color="auto" w:fill="FFFFFF"/>
              </w:rPr>
              <w:t>Thelin</w:t>
            </w:r>
            <w:proofErr w:type="spellEnd"/>
            <w:r w:rsidRPr="00401847">
              <w:rPr>
                <w:color w:val="333333"/>
                <w:shd w:val="clear" w:color="auto" w:fill="FFFFFF"/>
              </w:rPr>
              <w:t>, A History of American Higher Education (Baltimore, Johns Hopkins University</w:t>
            </w:r>
            <w:r w:rsidRPr="00401847">
              <w:rPr>
                <w:rStyle w:val="apple-converted-space"/>
                <w:color w:val="333333"/>
                <w:shd w:val="clear" w:color="auto" w:fill="FFFFFF"/>
              </w:rPr>
              <w:t> Press, 2011;</w:t>
            </w:r>
            <w:r w:rsidRPr="00401847">
              <w:rPr>
                <w:rStyle w:val="apple-converted-space"/>
                <w:rFonts w:ascii="Verdana" w:hAnsi="Verdana"/>
                <w:color w:val="333333"/>
                <w:shd w:val="clear" w:color="auto" w:fill="FFFFFF"/>
              </w:rPr>
              <w:t xml:space="preserve"> </w:t>
            </w:r>
            <w:proofErr w:type="spellStart"/>
            <w:r w:rsidRPr="00401847">
              <w:t>Ula</w:t>
            </w:r>
            <w:proofErr w:type="spellEnd"/>
            <w:r w:rsidRPr="00401847">
              <w:t xml:space="preserve"> Taylor, “Origins of African American Studies at UC Berkeley,” </w:t>
            </w:r>
            <w:r w:rsidRPr="00401847">
              <w:rPr>
                <w:i/>
              </w:rPr>
              <w:t>Western Journal of Black Studies</w:t>
            </w:r>
            <w:r w:rsidRPr="00401847">
              <w:t xml:space="preserve">, Summer 2010 34 (2) 256-265; Robert Chrisman, “The </w:t>
            </w:r>
            <w:r w:rsidRPr="00401847">
              <w:rPr>
                <w:i/>
              </w:rPr>
              <w:t>Black Scholar</w:t>
            </w:r>
            <w:r w:rsidRPr="00401847">
              <w:t xml:space="preserve">: The First Forty Years,” </w:t>
            </w:r>
            <w:r w:rsidRPr="00401847">
              <w:rPr>
                <w:i/>
              </w:rPr>
              <w:t>Black Scholar</w:t>
            </w:r>
            <w:r w:rsidRPr="00401847">
              <w:t xml:space="preserve"> v 41, n 4, (Winter 2011): 2-4; John </w:t>
            </w:r>
            <w:proofErr w:type="spellStart"/>
            <w:r w:rsidRPr="00401847">
              <w:t>Bunzel</w:t>
            </w:r>
            <w:proofErr w:type="spellEnd"/>
            <w:r w:rsidRPr="00401847">
              <w:t xml:space="preserve">, “Black Studies at San Francisco State, </w:t>
            </w:r>
            <w:r w:rsidRPr="00401847">
              <w:rPr>
                <w:i/>
              </w:rPr>
              <w:t xml:space="preserve">The Public Interest, </w:t>
            </w:r>
            <w:r w:rsidRPr="00401847">
              <w:t>No. 13, (1968):</w:t>
            </w:r>
            <w:r w:rsidRPr="00401847">
              <w:rPr>
                <w:i/>
              </w:rPr>
              <w:t xml:space="preserve"> </w:t>
            </w:r>
            <w:r w:rsidRPr="00401847">
              <w:t xml:space="preserve">22-38; Catherine Orr, Telling of our Activist Pasts: Tracing the Emergence of Women’s Studies at San </w:t>
            </w:r>
            <w:proofErr w:type="spellStart"/>
            <w:r w:rsidRPr="00401847">
              <w:t>Francsisco</w:t>
            </w:r>
            <w:proofErr w:type="spellEnd"/>
            <w:r w:rsidRPr="00401847">
              <w:t xml:space="preserve"> State College, </w:t>
            </w:r>
            <w:r w:rsidRPr="00401847">
              <w:rPr>
                <w:i/>
              </w:rPr>
              <w:t>Women’s</w:t>
            </w:r>
            <w:r w:rsidRPr="009A337F">
              <w:rPr>
                <w:i/>
              </w:rPr>
              <w:t xml:space="preserve"> Studies Quarterly</w:t>
            </w:r>
            <w:r>
              <w:rPr>
                <w:i/>
              </w:rPr>
              <w:t xml:space="preserve">, </w:t>
            </w:r>
            <w:r w:rsidRPr="009A337F">
              <w:t xml:space="preserve">v 27 </w:t>
            </w:r>
            <w:proofErr w:type="spellStart"/>
            <w:r w:rsidRPr="009A337F">
              <w:t>nos</w:t>
            </w:r>
            <w:proofErr w:type="spellEnd"/>
            <w:r w:rsidRPr="009A337F">
              <w:t xml:space="preserve"> 3-4 </w:t>
            </w:r>
            <w:r>
              <w:t xml:space="preserve">(1999): </w:t>
            </w:r>
            <w:r w:rsidRPr="009A337F">
              <w:t>212-229</w:t>
            </w:r>
            <w:r>
              <w:t>.</w:t>
            </w:r>
          </w:p>
          <w:p w:rsidR="00CF091A" w:rsidRDefault="00CF091A" w:rsidP="00EB40EF"/>
          <w:p w:rsidR="00CF091A" w:rsidRDefault="00CF091A" w:rsidP="00EB40EF">
            <w:pPr>
              <w:rPr>
                <w:b/>
                <w:i/>
              </w:rPr>
            </w:pPr>
            <w:r>
              <w:rPr>
                <w:b/>
                <w:i/>
              </w:rPr>
              <w:t>Question:  How was education democratized at the end of the 20</w:t>
            </w:r>
            <w:r w:rsidRPr="00401847">
              <w:rPr>
                <w:b/>
                <w:i/>
                <w:vertAlign w:val="superscript"/>
              </w:rPr>
              <w:t>th</w:t>
            </w:r>
            <w:r>
              <w:rPr>
                <w:b/>
                <w:i/>
              </w:rPr>
              <w:t xml:space="preserve"> century?  How does Old Westbury fit into this trend?  </w:t>
            </w:r>
          </w:p>
        </w:tc>
      </w:tr>
    </w:tbl>
    <w:p w:rsidR="00CF091A" w:rsidRDefault="00CF091A" w:rsidP="00CF091A">
      <w:pPr>
        <w:rPr>
          <w:b/>
          <w:i/>
        </w:rPr>
      </w:pPr>
    </w:p>
    <w:p w:rsidR="00CF091A" w:rsidRDefault="00CF091A" w:rsidP="00CF091A">
      <w:pPr>
        <w:rPr>
          <w:b/>
          <w:i/>
        </w:rPr>
      </w:pPr>
    </w:p>
    <w:p w:rsidR="00CF091A" w:rsidRDefault="00CF091A" w:rsidP="00CF091A">
      <w:pPr>
        <w:rPr>
          <w:b/>
          <w:i/>
        </w:rPr>
      </w:pPr>
      <w:r>
        <w:rPr>
          <w:b/>
          <w:i/>
        </w:rPr>
        <w:t>Learning Outcomes</w:t>
      </w:r>
    </w:p>
    <w:p w:rsidR="00CF091A" w:rsidRDefault="00CF091A" w:rsidP="00CF091A">
      <w:pPr>
        <w:rPr>
          <w:b/>
          <w:i/>
        </w:rPr>
      </w:pPr>
    </w:p>
    <w:tbl>
      <w:tblPr>
        <w:tblStyle w:val="TableGrid"/>
        <w:tblW w:w="0" w:type="auto"/>
        <w:tblLook w:val="01E0"/>
      </w:tblPr>
      <w:tblGrid>
        <w:gridCol w:w="8856"/>
      </w:tblGrid>
      <w:tr w:rsidR="00CF091A" w:rsidTr="00EB40EF">
        <w:tc>
          <w:tcPr>
            <w:tcW w:w="9576" w:type="dxa"/>
          </w:tcPr>
          <w:p w:rsidR="00CF091A" w:rsidRPr="00401847" w:rsidRDefault="00CF091A" w:rsidP="00EB40EF">
            <w:pPr>
              <w:numPr>
                <w:ilvl w:val="0"/>
                <w:numId w:val="7"/>
              </w:numPr>
              <w:rPr>
                <w:b/>
                <w:i/>
              </w:rPr>
            </w:pPr>
            <w:r>
              <w:t xml:space="preserve">Identification of key issues in transformations in </w:t>
            </w:r>
            <w:smartTag w:uri="urn:schemas-microsoft-com:office:smarttags" w:element="country-region">
              <w:smartTag w:uri="urn:schemas-microsoft-com:office:smarttags" w:element="place">
                <w:r>
                  <w:t>U.S.</w:t>
                </w:r>
              </w:smartTag>
            </w:smartTag>
            <w:r>
              <w:t xml:space="preserve"> higher education, including the student body composition, shifts in curriculum, and challenges in these changes.</w:t>
            </w:r>
          </w:p>
          <w:p w:rsidR="00CF091A" w:rsidRPr="00401847" w:rsidRDefault="00CF091A" w:rsidP="00EB40EF">
            <w:pPr>
              <w:numPr>
                <w:ilvl w:val="0"/>
                <w:numId w:val="7"/>
              </w:numPr>
              <w:rPr>
                <w:b/>
                <w:i/>
              </w:rPr>
            </w:pPr>
            <w:r>
              <w:t>Use of primary and secondary sources to make an argument.</w:t>
            </w:r>
          </w:p>
          <w:p w:rsidR="00CF091A" w:rsidRDefault="00CF091A" w:rsidP="00EB40EF">
            <w:pPr>
              <w:numPr>
                <w:ilvl w:val="0"/>
                <w:numId w:val="7"/>
              </w:numPr>
              <w:rPr>
                <w:b/>
                <w:i/>
              </w:rPr>
            </w:pPr>
            <w:r>
              <w:t>Utilization of localized case study and macro views of trends in higher education</w:t>
            </w:r>
          </w:p>
        </w:tc>
      </w:tr>
    </w:tbl>
    <w:p w:rsidR="00CF091A" w:rsidRDefault="00CF091A" w:rsidP="00CF091A">
      <w:pPr>
        <w:rPr>
          <w:b/>
          <w:i/>
        </w:rPr>
      </w:pPr>
    </w:p>
    <w:p w:rsidR="00CF091A" w:rsidRPr="0024779C" w:rsidRDefault="00CF091A" w:rsidP="00CF091A">
      <w:pPr>
        <w:rPr>
          <w:rFonts w:ascii="Garamond" w:hAnsi="Garamond"/>
        </w:rPr>
      </w:pPr>
    </w:p>
    <w:p w:rsidR="00CF091A" w:rsidRPr="0024779C" w:rsidRDefault="00CF091A" w:rsidP="00CF091A">
      <w:pPr>
        <w:rPr>
          <w:rFonts w:ascii="Garamond" w:hAnsi="Garamond"/>
        </w:rPr>
      </w:pPr>
    </w:p>
    <w:p w:rsidR="00CF091A" w:rsidRPr="0024779C" w:rsidRDefault="00CF091A" w:rsidP="00CF091A">
      <w:pPr>
        <w:rPr>
          <w:rFonts w:ascii="Garamond" w:hAnsi="Garamond"/>
        </w:rPr>
      </w:pPr>
      <w:r w:rsidRPr="0024779C">
        <w:rPr>
          <w:rFonts w:ascii="Garamond" w:hAnsi="Garamond"/>
        </w:rPr>
        <w:t>Time Needed:</w:t>
      </w:r>
    </w:p>
    <w:p w:rsidR="00CF091A" w:rsidRPr="0024779C" w:rsidRDefault="00CF091A" w:rsidP="00CF091A">
      <w:pPr>
        <w:rPr>
          <w:rFonts w:ascii="Garamond" w:hAnsi="Garamond"/>
        </w:rPr>
      </w:pPr>
    </w:p>
    <w:p w:rsidR="00CF091A" w:rsidRPr="0024779C" w:rsidRDefault="00CF091A" w:rsidP="00CF091A">
      <w:pPr>
        <w:rPr>
          <w:rFonts w:ascii="Garamond" w:hAnsi="Garamond"/>
        </w:rPr>
      </w:pPr>
    </w:p>
    <w:p w:rsidR="00CF091A" w:rsidRPr="0024779C" w:rsidRDefault="00CF091A" w:rsidP="00CF091A">
      <w:pPr>
        <w:rPr>
          <w:rFonts w:ascii="Garamond" w:hAnsi="Garamond"/>
        </w:rPr>
      </w:pPr>
      <w:r w:rsidRPr="0024779C">
        <w:rPr>
          <w:rFonts w:ascii="Garamond" w:hAnsi="Garamond"/>
        </w:rPr>
        <w:t>Supplies for this Activity:</w:t>
      </w:r>
    </w:p>
    <w:p w:rsidR="00CF091A" w:rsidRPr="0024779C" w:rsidRDefault="00CF091A" w:rsidP="00CF091A">
      <w:pPr>
        <w:rPr>
          <w:rFonts w:ascii="Garamond" w:hAnsi="Garamond"/>
        </w:rPr>
      </w:pPr>
    </w:p>
    <w:p w:rsidR="00CF091A" w:rsidRPr="0024779C" w:rsidRDefault="00CF091A" w:rsidP="00CF091A">
      <w:pPr>
        <w:rPr>
          <w:rFonts w:ascii="Garamond" w:hAnsi="Garamond"/>
        </w:rPr>
      </w:pPr>
      <w:r w:rsidRPr="0024779C">
        <w:rPr>
          <w:rFonts w:ascii="Garamond" w:hAnsi="Garamond"/>
        </w:rPr>
        <w:t>Activity:</w:t>
      </w:r>
    </w:p>
    <w:p w:rsidR="00CF091A" w:rsidRPr="0024779C" w:rsidRDefault="00CF091A" w:rsidP="00CF091A">
      <w:pPr>
        <w:pStyle w:val="ListParagraph"/>
        <w:numPr>
          <w:ilvl w:val="0"/>
          <w:numId w:val="2"/>
        </w:numPr>
        <w:rPr>
          <w:rFonts w:ascii="Garamond" w:hAnsi="Garamond"/>
        </w:rPr>
      </w:pPr>
    </w:p>
    <w:p w:rsidR="00CF091A" w:rsidRPr="0024779C" w:rsidRDefault="00CF091A" w:rsidP="00CF091A">
      <w:pPr>
        <w:rPr>
          <w:rFonts w:ascii="Garamond" w:hAnsi="Garamond"/>
        </w:rPr>
      </w:pPr>
    </w:p>
    <w:p w:rsidR="00CF091A" w:rsidRDefault="00CF091A" w:rsidP="00CF091A">
      <w:pPr>
        <w:rPr>
          <w:rFonts w:ascii="Garamond" w:hAnsi="Garamond"/>
        </w:rPr>
      </w:pPr>
      <w:r w:rsidRPr="0024779C">
        <w:rPr>
          <w:rFonts w:ascii="Garamond" w:hAnsi="Garamond"/>
        </w:rPr>
        <w:t>Teacher’s Notes on the Activity:</w:t>
      </w:r>
    </w:p>
    <w:p w:rsidR="00CF091A" w:rsidRDefault="00CF091A" w:rsidP="00CF091A">
      <w:pPr>
        <w:rPr>
          <w:rFonts w:ascii="Garamond" w:hAnsi="Garamond"/>
        </w:rPr>
      </w:pPr>
    </w:p>
    <w:p w:rsidR="00CF091A" w:rsidRPr="00037810" w:rsidRDefault="00CF091A" w:rsidP="00CF091A">
      <w:pPr>
        <w:rPr>
          <w:rFonts w:ascii="Garamond" w:hAnsi="Garamond"/>
        </w:rPr>
      </w:pPr>
      <w:r>
        <w:rPr>
          <w:rFonts w:ascii="Garamond" w:hAnsi="Garamond"/>
          <w:i/>
        </w:rPr>
        <w:t xml:space="preserve">Experiments </w:t>
      </w:r>
      <w:r>
        <w:rPr>
          <w:rFonts w:ascii="Garamond" w:hAnsi="Garamond"/>
        </w:rPr>
        <w:t>oral histories and digital archive offers rich evidence on multiple themes, but these are some of the obvious lessons provided by this project.</w:t>
      </w:r>
    </w:p>
    <w:p w:rsidR="00CF091A" w:rsidRDefault="00CF091A" w:rsidP="00CF091A">
      <w:pPr>
        <w:rPr>
          <w:b/>
          <w:i/>
        </w:rPr>
      </w:pPr>
    </w:p>
    <w:p w:rsidR="00384FA1" w:rsidRPr="0024779C" w:rsidRDefault="00384FA1" w:rsidP="0024779C"/>
    <w:sectPr w:rsidR="00384FA1" w:rsidRPr="0024779C" w:rsidSect="000A76E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ＭＳ 明朝">
    <w:charset w:val="4E"/>
    <w:family w:val="auto"/>
    <w:pitch w:val="variable"/>
    <w:sig w:usb0="E00002FF" w:usb1="6AC7FDFB" w:usb2="00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7BD5"/>
    <w:multiLevelType w:val="hybridMultilevel"/>
    <w:tmpl w:val="DCF2C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D0370E"/>
    <w:multiLevelType w:val="hybridMultilevel"/>
    <w:tmpl w:val="F1FC0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8E3B64"/>
    <w:multiLevelType w:val="hybridMultilevel"/>
    <w:tmpl w:val="C600A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CD21A3"/>
    <w:multiLevelType w:val="hybridMultilevel"/>
    <w:tmpl w:val="63DA0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9D5C13"/>
    <w:multiLevelType w:val="hybridMultilevel"/>
    <w:tmpl w:val="24AC2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EAE5941"/>
    <w:multiLevelType w:val="hybridMultilevel"/>
    <w:tmpl w:val="B6F42D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39278FB"/>
    <w:multiLevelType w:val="hybridMultilevel"/>
    <w:tmpl w:val="FBAE10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78502C7"/>
    <w:multiLevelType w:val="hybridMultilevel"/>
    <w:tmpl w:val="8C226D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B530160"/>
    <w:multiLevelType w:val="hybridMultilevel"/>
    <w:tmpl w:val="E35286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7"/>
  </w:num>
  <w:num w:numId="5">
    <w:abstractNumId w:val="5"/>
  </w:num>
  <w:num w:numId="6">
    <w:abstractNumId w:val="8"/>
  </w:num>
  <w:num w:numId="7">
    <w:abstractNumId w:val="0"/>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useFELayout/>
  </w:compat>
  <w:rsids>
    <w:rsidRoot w:val="003A49A2"/>
    <w:rsid w:val="000236BD"/>
    <w:rsid w:val="00030608"/>
    <w:rsid w:val="000A76E4"/>
    <w:rsid w:val="001D1024"/>
    <w:rsid w:val="0024779C"/>
    <w:rsid w:val="00384FA1"/>
    <w:rsid w:val="003A49A2"/>
    <w:rsid w:val="00451AE5"/>
    <w:rsid w:val="006F7725"/>
    <w:rsid w:val="00CF091A"/>
    <w:rsid w:val="00D60859"/>
    <w:rsid w:val="00EF2E2F"/>
    <w:rsid w:val="00F344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ountry-region"/>
  <w:smartTagType w:namespaceuri="urn:schemas-microsoft-com:office:smarttags" w:name="PlaceTyp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6BD"/>
  </w:style>
  <w:style w:type="paragraph" w:styleId="Heading2">
    <w:name w:val="heading 2"/>
    <w:basedOn w:val="Normal"/>
    <w:link w:val="Heading2Char"/>
    <w:uiPriority w:val="9"/>
    <w:qFormat/>
    <w:rsid w:val="00CF091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9A2"/>
    <w:pPr>
      <w:ind w:left="720"/>
      <w:contextualSpacing/>
    </w:pPr>
  </w:style>
  <w:style w:type="character" w:customStyle="1" w:styleId="Heading2Char">
    <w:name w:val="Heading 2 Char"/>
    <w:basedOn w:val="DefaultParagraphFont"/>
    <w:link w:val="Heading2"/>
    <w:uiPriority w:val="9"/>
    <w:rsid w:val="00CF091A"/>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CF091A"/>
    <w:rPr>
      <w:color w:val="0000FF" w:themeColor="hyperlink"/>
      <w:u w:val="single"/>
    </w:rPr>
  </w:style>
  <w:style w:type="table" w:styleId="TableGrid">
    <w:name w:val="Table Grid"/>
    <w:basedOn w:val="TableNormal"/>
    <w:rsid w:val="00CF091A"/>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F091A"/>
    <w:rPr>
      <w:rFonts w:ascii="Tahoma" w:hAnsi="Tahoma" w:cs="Tahoma"/>
      <w:sz w:val="16"/>
      <w:szCs w:val="16"/>
    </w:rPr>
  </w:style>
  <w:style w:type="character" w:customStyle="1" w:styleId="BalloonTextChar">
    <w:name w:val="Balloon Text Char"/>
    <w:basedOn w:val="DefaultParagraphFont"/>
    <w:link w:val="BalloonText"/>
    <w:uiPriority w:val="99"/>
    <w:semiHidden/>
    <w:rsid w:val="00CF091A"/>
    <w:rPr>
      <w:rFonts w:ascii="Tahoma" w:hAnsi="Tahoma" w:cs="Tahoma"/>
      <w:sz w:val="16"/>
      <w:szCs w:val="16"/>
    </w:rPr>
  </w:style>
  <w:style w:type="character" w:customStyle="1" w:styleId="apple-converted-space">
    <w:name w:val="apple-converted-space"/>
    <w:basedOn w:val="DefaultParagraphFont"/>
    <w:rsid w:val="00CF091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9A2"/>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bel.hathitrust.org/cgi/pt?id=nyp.33433074836200;view=1up;seq=422" TargetMode="External"/><Relationship Id="rId3" Type="http://schemas.openxmlformats.org/officeDocument/2006/relationships/settings" Target="settings.xml"/><Relationship Id="rId7" Type="http://schemas.openxmlformats.org/officeDocument/2006/relationships/hyperlink" Target="https://emeritus.library.harvard.edu/university-archives/using-the-collections/online-resources/charter-of-1650"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ldwestburyoralhistory.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itext.com/hutchins/195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1250</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SJU</Company>
  <LinksUpToDate>false</LinksUpToDate>
  <CharactersWithSpaces>8362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Abbas</dc:creator>
  <cp:lastModifiedBy>Carol Quirke</cp:lastModifiedBy>
  <cp:revision>4</cp:revision>
  <dcterms:created xsi:type="dcterms:W3CDTF">2018-09-25T14:02:00Z</dcterms:created>
  <dcterms:modified xsi:type="dcterms:W3CDTF">2018-09-25T17:49:00Z</dcterms:modified>
</cp:coreProperties>
</file>